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A7A5" w14:textId="77777777"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14:paraId="5F552D65" w14:textId="77777777"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14:paraId="6AEF0A98" w14:textId="29CA7353" w:rsidR="008C6A31" w:rsidRPr="008C6A31" w:rsidRDefault="008C6A31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auto"/>
        </w:rPr>
      </w:pPr>
      <w:r>
        <w:rPr>
          <w:rFonts w:asciiTheme="minorHAnsi" w:hAnsiTheme="minorHAnsi" w:cs="AgendaPl Bold"/>
          <w:b/>
          <w:bCs/>
          <w:color w:val="auto"/>
        </w:rPr>
        <w:t>Działy 1 i 2 będą realizowane w semestrze I, działy 3 i 4 w semestrze II.</w:t>
      </w:r>
    </w:p>
    <w:p w14:paraId="61BB6E54" w14:textId="77777777"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4E5FBF8B" w14:textId="77777777" w:rsidTr="007C5C08">
        <w:tc>
          <w:tcPr>
            <w:tcW w:w="2357" w:type="dxa"/>
            <w:vMerge w:val="restart"/>
            <w:shd w:val="clear" w:color="auto" w:fill="auto"/>
            <w:hideMark/>
          </w:tcPr>
          <w:p w14:paraId="6E848945" w14:textId="77777777"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14:paraId="6D930676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14:paraId="3C6BDA5F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14:paraId="10A551F2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14:paraId="314565D1" w14:textId="77777777"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14:paraId="490C5579" w14:textId="77777777" w:rsidTr="007C5C08">
        <w:tc>
          <w:tcPr>
            <w:tcW w:w="0" w:type="auto"/>
            <w:vMerge/>
            <w:vAlign w:val="center"/>
            <w:hideMark/>
          </w:tcPr>
          <w:p w14:paraId="4A440F50" w14:textId="77777777"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14:paraId="300C4568" w14:textId="77777777"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14:paraId="61CF7C59" w14:textId="77777777"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14:paraId="6FE24CCD" w14:textId="77777777"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14:paraId="57A958F2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14:paraId="16C61B27" w14:textId="77777777"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7093FEF7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E689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14:paraId="05F23E8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AD4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14:paraId="11A8A606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32A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7177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658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14:paraId="428B35B7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CB6" w14:textId="77777777"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1D27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14:paraId="367A1E89" w14:textId="77777777"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14:paraId="03F989C7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CFE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14:paraId="3A08E597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91E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14:paraId="356ABD6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14:paraId="5AF130C0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71E80ACA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DC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14:paraId="1B99CC9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14:paraId="764A3463" w14:textId="77777777"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14:paraId="17C8A604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83C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14:paraId="10FDF2C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14:paraId="795803AD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91EAF3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3B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14:paraId="4E05C2B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analizuje wyniki i formułuje wnioski z przeprowadzonej obserwacji lub doświadczenia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3ED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uzasadnia potrzebę przestrzegania procedur badawczych podczas obserwacji i doświadczeń  biologicznych</w:t>
            </w:r>
          </w:p>
          <w:p w14:paraId="2AD103B3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14:paraId="2F87B362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482792D3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C3C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254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14:paraId="168073C4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14:paraId="58E5D21C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6F3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14:paraId="210C258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14:paraId="6A08C784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F7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14:paraId="07EDDD8B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AB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15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14:paraId="57613B2A" w14:textId="77777777"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07B30759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6F4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14:paraId="5E38415C" w14:textId="77777777"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54A5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F8D5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ABD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C24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EB6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14:paraId="207A9F6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2E4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14:paraId="43CF028F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9FE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14:paraId="1C008182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14:paraId="5A7511FF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F33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14:paraId="33C5600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podstawowe funkcje elementów budowy komórki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726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14:paraId="6EDEF3A5" w14:textId="77777777"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EC8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14:paraId="021679F4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14:paraId="33512C88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B4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14:paraId="6CF224CC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14:paraId="55726A98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8B6" w14:textId="77777777"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39D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14:paraId="5D4A9266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14:paraId="10DF304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90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14:paraId="336F7AC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14:paraId="56C51D32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44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14:paraId="439073CC" w14:textId="77777777"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14:paraId="17B74190" w14:textId="77777777"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14:paraId="6C5AECBA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D5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14:paraId="51F929E3" w14:textId="77777777"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91D" w14:textId="77777777"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14:paraId="235680F1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39FD" w14:textId="77777777"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608C" w14:textId="77777777"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1DB932" w14:textId="77777777"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14:paraId="59596743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65DB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14:paraId="26B51A1B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3F9" w14:textId="77777777"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14:paraId="5A31611B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6FF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47A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krótko charakteryzuje podstawowe czynności życiowe organizmów (odżywianie się, oddychanie, wydalanie, wrażliwość na bodźce, wzrost i rozwój, ruch,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rozmnażanie się)</w:t>
            </w:r>
          </w:p>
          <w:p w14:paraId="6A314CDE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49B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14:paraId="4EA92D9F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942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14:paraId="27FDE1CE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53BB" w14:textId="77777777"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14:paraId="5CB1F0D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A3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14:paraId="6EA7C420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1C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14:paraId="09B18DB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14:paraId="7B95CFE9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D37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14:paraId="2945BC4A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D65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282135B7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14:paraId="1D168839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14:paraId="0474A4EA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09E74CF3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2A3" w14:textId="77777777"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14:paraId="02F4DF13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14:paraId="071E96CD" w14:textId="77777777"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11C" w14:textId="77777777"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14:paraId="0047C735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554D3925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C8AB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1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14:paraId="37B29C77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CFB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14:paraId="7D7B2B85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14:paraId="7941948F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CE8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14:paraId="1CE09CF8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04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14:paraId="4A8B2A0F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14:paraId="57D95DFC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14:paraId="48F772E6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00A" w14:textId="77777777"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14:paraId="09771B59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14:paraId="3960E565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66A2B3D7" w14:textId="7777777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1809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1B6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14:paraId="328DEEB0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14:paraId="0A0A98ED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E69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14:paraId="42935278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4A5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14:paraId="3E86499F" w14:textId="77777777"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DC5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14:paraId="1859F393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C2F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14:paraId="7194703C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024F3D6E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DAA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14:paraId="717C4E37" w14:textId="77777777"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B4E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14:paraId="27744BC2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14:paraId="338B24F3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3F16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14:paraId="562233C4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14:paraId="7928BAF2" w14:textId="77777777"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077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14:paraId="411C5418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05C4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14:paraId="1891235F" w14:textId="77777777"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AE09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14:paraId="7B2D3ED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43E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14:paraId="1C50999B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9F0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14:paraId="331B62BB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14:paraId="3CA771E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02D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14:paraId="1812E8D1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14:paraId="287A672E" w14:textId="77777777"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D99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14:paraId="5A77A822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14:paraId="3B79FC70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798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14:paraId="221F9312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14:paraId="3059CCA4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14:paraId="000C84C7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78F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14:paraId="09E7CBAB" w14:textId="77777777"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14:paraId="1C7D23D5" w14:textId="77777777"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14:paraId="07D46B83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14:paraId="19D4A07F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F3A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14:paraId="210D8BA1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64E0" w14:textId="77777777"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14:paraId="4F4DB2E3" w14:textId="7777777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E7AE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14:paraId="20011E4A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C8A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14:paraId="5CBA9E4F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75A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14:paraId="1950852A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14:paraId="41114D56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51B" w14:textId="77777777"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14:paraId="14C0B6FC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C9" w14:textId="77777777"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14:paraId="57F01F60" w14:textId="77777777"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90C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CA9" w14:textId="77777777"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14:paraId="5FD0BB2C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02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442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14:paraId="50A152C0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35E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14:paraId="3C210243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A82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14:paraId="6A1442B8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05A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88F" w14:textId="77777777"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14:paraId="0C08E9C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F53" w14:textId="77777777"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2E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3B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3AB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C9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238" w14:textId="77777777"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14:paraId="04A32012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94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14:paraId="165BBD2B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A3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642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080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621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B7B" w14:textId="77777777"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14:paraId="02D461A5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29D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14:paraId="28951A9F" w14:textId="77777777"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855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14:paraId="3F5160AA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BA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14:paraId="11F593F7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C9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018" w14:textId="77777777"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07F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14:paraId="5D8858E4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1B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14:paraId="6A577000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049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3A7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448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650" w14:textId="77777777"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1D5" w14:textId="77777777"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14:paraId="20A5FB83" w14:textId="7777777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0BBA" w14:textId="77777777"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14:paraId="3919C3CD" w14:textId="77777777"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14:paraId="2C795229" w14:textId="77777777"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BB2" w14:textId="77777777"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A7C78" w14:textId="77777777"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14:paraId="340D51D9" w14:textId="7777777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8411" w14:textId="77777777"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14:paraId="0A521310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B38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14:paraId="58C617EE" w14:textId="77777777"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14:paraId="4290F794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4BE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14:paraId="3B00BDE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14:paraId="268241CD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B1D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14:paraId="5639E8FA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14:paraId="06AB98F6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C8E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14:paraId="2E74D621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477FB6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AC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14:paraId="5DD6998C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979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14:paraId="441F92DD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2EA1FD39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A13" w14:textId="77777777"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34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14:paraId="452F140D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C3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D7D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14:paraId="1280E048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2A6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14:paraId="3C8BF8DC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1D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14:paraId="1B2BC6CC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592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14:paraId="131FEEEB" w14:textId="77777777"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EC8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E7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14:paraId="1E75BBEB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D8E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14:paraId="75C4297D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68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A2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14:paraId="4B1FB9E8" w14:textId="77777777"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69C7A98B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33E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2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EDE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7C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42B" w14:textId="77777777"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E85" w14:textId="77777777"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14:paraId="40535C69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28C" w14:textId="77777777"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14:paraId="04FA21AA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135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14:paraId="556E657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9D2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14:paraId="4FEC11A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B00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14:paraId="2D176CDA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14:paraId="76B7B677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A2E" w14:textId="77777777"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F6F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14:paraId="6BF8BC0E" w14:textId="77777777"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14:paraId="46BDF2B3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8FE" w14:textId="77777777"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14:paraId="61B901BC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4DB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8D31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14:paraId="51DA5D27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E87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14:paraId="15E6E753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14:paraId="56450C4E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C2C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14:paraId="427213AC" w14:textId="77777777"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676" w14:textId="77777777"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14:paraId="158A0996" w14:textId="7777777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A1F6" w14:textId="77777777"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012E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B81F00" w14:textId="77777777"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14:paraId="6B9E7703" w14:textId="77777777" w:rsidR="005B6CFB" w:rsidRPr="005D6C6B" w:rsidRDefault="005B6CFB" w:rsidP="005B6CFB"/>
    <w:p w14:paraId="39489EC8" w14:textId="77777777"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14:paraId="32003FB1" w14:textId="77777777"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14:paraId="4E982565" w14:textId="77777777"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56CF" w14:textId="77777777" w:rsidR="003C2756" w:rsidRDefault="003C2756" w:rsidP="00285D6F">
      <w:pPr>
        <w:spacing w:line="240" w:lineRule="auto"/>
      </w:pPr>
      <w:r>
        <w:separator/>
      </w:r>
    </w:p>
  </w:endnote>
  <w:endnote w:type="continuationSeparator" w:id="0">
    <w:p w14:paraId="1ABE195D" w14:textId="77777777" w:rsidR="003C2756" w:rsidRDefault="003C2756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7742" w14:textId="77777777"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FDACDE" wp14:editId="78DD7E0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6999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</w:t>
    </w:r>
    <w:proofErr w:type="spellEnd"/>
    <w:r w:rsidR="00AA7601">
      <w:rPr>
        <w:rFonts w:ascii="AgendaPl-Regular" w:hAnsi="AgendaPl-Regular" w:cs="AgendaPl-Regular"/>
        <w:color w:val="auto"/>
      </w:rPr>
      <w:t>-Gutowska</w:t>
    </w:r>
  </w:p>
  <w:p w14:paraId="0D9C0E66" w14:textId="77777777"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383039" wp14:editId="5A9EF3B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8E95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36E1166D" w14:textId="77777777"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1EF89ABC" wp14:editId="4254DD5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4CBB16AF" wp14:editId="4062227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26365A" w14:textId="77777777"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C5C08">
      <w:rPr>
        <w:noProof/>
      </w:rPr>
      <w:t>10</w:t>
    </w:r>
    <w:r>
      <w:fldChar w:fldCharType="end"/>
    </w:r>
  </w:p>
  <w:p w14:paraId="790003F7" w14:textId="77777777"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B842" w14:textId="77777777" w:rsidR="003C2756" w:rsidRDefault="003C2756" w:rsidP="00285D6F">
      <w:pPr>
        <w:spacing w:line="240" w:lineRule="auto"/>
      </w:pPr>
      <w:r>
        <w:separator/>
      </w:r>
    </w:p>
  </w:footnote>
  <w:footnote w:type="continuationSeparator" w:id="0">
    <w:p w14:paraId="6B7F5526" w14:textId="77777777" w:rsidR="003C2756" w:rsidRDefault="003C2756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485" w14:textId="77777777"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8D4DDCF" wp14:editId="594E19A7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43AF223" wp14:editId="0467F3B9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0F929" w14:textId="77777777" w:rsidR="00B3490D" w:rsidRDefault="00B3490D" w:rsidP="00435B7E">
    <w:pPr>
      <w:pStyle w:val="Nagwek"/>
      <w:tabs>
        <w:tab w:val="clear" w:pos="9072"/>
      </w:tabs>
      <w:ind w:left="142" w:right="142"/>
    </w:pPr>
  </w:p>
  <w:p w14:paraId="27B3989A" w14:textId="77777777" w:rsidR="00B3490D" w:rsidRDefault="00B3490D" w:rsidP="00D22D55">
    <w:pPr>
      <w:pStyle w:val="Nagwek"/>
      <w:tabs>
        <w:tab w:val="clear" w:pos="9072"/>
      </w:tabs>
      <w:ind w:left="142" w:right="-283"/>
    </w:pPr>
  </w:p>
  <w:p w14:paraId="2FF2056B" w14:textId="77777777" w:rsidR="00B3490D" w:rsidRDefault="00B3490D" w:rsidP="00D22D55">
    <w:pPr>
      <w:pStyle w:val="Nagwek"/>
      <w:tabs>
        <w:tab w:val="clear" w:pos="9072"/>
      </w:tabs>
      <w:ind w:left="142" w:right="-283"/>
    </w:pPr>
  </w:p>
  <w:p w14:paraId="72C6998F" w14:textId="77777777"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14:paraId="47FDEBEC" w14:textId="77777777" w:rsidR="00B3490D" w:rsidRDefault="00B34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063595">
    <w:abstractNumId w:val="24"/>
  </w:num>
  <w:num w:numId="2" w16cid:durableId="1487357930">
    <w:abstractNumId w:val="1"/>
  </w:num>
  <w:num w:numId="3" w16cid:durableId="1921599465">
    <w:abstractNumId w:val="14"/>
  </w:num>
  <w:num w:numId="4" w16cid:durableId="1381133482">
    <w:abstractNumId w:val="0"/>
  </w:num>
  <w:num w:numId="5" w16cid:durableId="1747874785">
    <w:abstractNumId w:val="13"/>
  </w:num>
  <w:num w:numId="6" w16cid:durableId="253637611">
    <w:abstractNumId w:val="23"/>
  </w:num>
  <w:num w:numId="7" w16cid:durableId="1116406306">
    <w:abstractNumId w:val="5"/>
  </w:num>
  <w:num w:numId="8" w16cid:durableId="16591102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3051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268769">
    <w:abstractNumId w:val="6"/>
  </w:num>
  <w:num w:numId="11" w16cid:durableId="13724596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728185">
    <w:abstractNumId w:val="16"/>
  </w:num>
  <w:num w:numId="13" w16cid:durableId="709647952">
    <w:abstractNumId w:val="20"/>
  </w:num>
  <w:num w:numId="14" w16cid:durableId="704253617">
    <w:abstractNumId w:val="4"/>
  </w:num>
  <w:num w:numId="15" w16cid:durableId="180364532">
    <w:abstractNumId w:val="12"/>
  </w:num>
  <w:num w:numId="16" w16cid:durableId="628322108">
    <w:abstractNumId w:val="18"/>
  </w:num>
  <w:num w:numId="17" w16cid:durableId="1359352360">
    <w:abstractNumId w:val="9"/>
  </w:num>
  <w:num w:numId="18" w16cid:durableId="684331963">
    <w:abstractNumId w:val="3"/>
  </w:num>
  <w:num w:numId="19" w16cid:durableId="1645621095">
    <w:abstractNumId w:val="15"/>
  </w:num>
  <w:num w:numId="20" w16cid:durableId="1243763162">
    <w:abstractNumId w:val="7"/>
  </w:num>
  <w:num w:numId="21" w16cid:durableId="1248615448">
    <w:abstractNumId w:val="11"/>
  </w:num>
  <w:num w:numId="22" w16cid:durableId="2145386795">
    <w:abstractNumId w:val="21"/>
  </w:num>
  <w:num w:numId="23" w16cid:durableId="1316495898">
    <w:abstractNumId w:val="17"/>
  </w:num>
  <w:num w:numId="24" w16cid:durableId="13393891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881253">
    <w:abstractNumId w:val="16"/>
  </w:num>
  <w:num w:numId="26" w16cid:durableId="18261218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4385114">
    <w:abstractNumId w:val="2"/>
  </w:num>
  <w:num w:numId="28" w16cid:durableId="13759322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2756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C6A31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BCA2D"/>
  <w15:docId w15:val="{B2D48E97-36DD-48AC-BC3B-B6914B9B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 Szydłowska</cp:lastModifiedBy>
  <cp:revision>2</cp:revision>
  <dcterms:created xsi:type="dcterms:W3CDTF">2023-10-28T11:21:00Z</dcterms:created>
  <dcterms:modified xsi:type="dcterms:W3CDTF">2023-10-28T11:21:00Z</dcterms:modified>
</cp:coreProperties>
</file>